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
    xmlns="http://schemas.openxmlformats.org/package/2006/relationships">
  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tbl>
      <w:tblPr>
        <w:tblCellMar>
          <w:top w:w="0"/>
          <w:bottom w:w="0"/>
          <w:start w:w="30"/>
          <w:end w:w="30"/>
        </w:tblCellMar>
        <w:tblCellSpacing w:w="20"/>
      </w:tblPr>
      <w:tr>
        <w:trPr>
          <w:tblHeader/>
        </w:trPr>
        <w:tc>
          <w:tcPr>
            <w:tcBorders>
              <w:bottom w:val="single" w:color="auto" w:sz="8"/>
              <w:end w:val="none" w:color="auto" w:sz="8"/>
              <w:start w:val="none" w:color="auto" w:sz="8"/>
            </w:tcBorders>
            <w:gridSpan w:val="4"/>
            <w:hideMark/>
          </w:tcPr>
          <w:p>
            <w:pPr/>
          </w:p>
        </w:tc>
      </w:tr>
      <w:tr>
        <w:trPr>
          <w:tblHeader/>
        </w:trPr>
        <w:tc>
          <w:tcPr>
            <w:tcMar/>
            <w:vAlign w:val="top"/>
          </w:tcPr>
          <w:p>
            <w:pPr>
              <w:jc w:val="center"/>
            </w:pPr>
          </w:p>
        </w:tc>
        <w:tc>
          <w:tcPr>
            <w:tcMar/>
            <w:vAlign w:val="top"/>
          </w:tcPr>
          <w:p>
            <w:pPr>
              <w:jc w:val="center"/>
            </w:pPr>
          </w:p>
        </w:tc>
        <w:tc>
          <w:tcPr>
            <w:tcBorders>
              <w:bottom w:val="single" w:color="auto" w:sz="4"/>
              <w:end w:val="none" w:color="auto" w:sz="4"/>
              <w:start w:val="none" w:color="auto" w:sz="4"/>
            </w:tcBorders>
            <w:gridSpan w:val="2"/>
            <w:tcMar>
              <w:bottom w:w="40"/>
            </w:tcMar>
            <w:vAlign w:val="top"/>
          </w:tcPr>
          <w:p>
            <w:pPr>
              <w:jc w:val="center"/>
            </w:pPr>
            <w:r>
              <w:rPr>
                <w:b/>
              </w:rPr>
              <w:t>Sex</w:t>
            </w:r>
          </w:p>
        </w:tc>
      </w:tr>
      <w:tr>
        <w:trPr>
          <w:tblHeader/>
        </w:trPr>
        <w:tc>
          <w:tcPr>
            <w:tcMar/>
            <w:vAlign w:val="top"/>
          </w:tcPr>
          <w:p>
            <w:pPr>
              <w:jc w:val="center"/>
            </w:pP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>
                <w:b/>
              </w:rPr>
              <w:t>Total</w:t>
            </w:r>
            <w:r>
              <w:rPr/>
              <w:br w:type="textWrapping"/>
            </w:r>
            <w:r>
              <w:rPr>
                <w:b/>
              </w:rPr>
              <w:t>(n=10)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f</w:t>
            </w:r>
            <w:r>
              <w:rPr/>
              <w:br w:type="textWrapping"/>
            </w:r>
            <w:r>
              <w:rPr/>
              <w:t>(n=6)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m</w:t>
            </w:r>
            <w:r>
              <w:rPr/>
              <w:br w:type="textWrapping"/>
            </w:r>
            <w:r>
              <w:rPr/>
              <w:t>(n=4)</w:t>
            </w:r>
          </w:p>
        </w:tc>
      </w:tr>
      <w:tr>
        <w:trPr>
          <w:tblHeader/>
        </w:trPr>
        <w:tc>
          <w:tcPr>
            <w:tcBorders>
              <w:bottom w:val="single" w:color="auto" w:sz="4"/>
              <w:end w:val="none" w:color="auto" w:sz="4"/>
              <w:start w:val="none" w:color="auto" w:sz="4"/>
            </w:tcBorders>
            <w:gridSpan w:val="4"/>
            <w:hideMark/>
          </w:tcPr>
          <w:p>
            <w:pPr/>
          </w:p>
        </w:tc>
      </w:tr>
      <w:tr>
        <w:trPr/>
        <w:tc>
          <w:tcPr>
            <w:tcMar/>
            <w:vAlign w:val="top"/>
          </w:tcPr>
          <w:p>
            <w:pPr>
              <w:jc w:val="start"/>
            </w:pPr>
            <w:r>
              <w:rPr>
                <w:b/>
              </w:rPr>
              <w:t>Age (years)</w:t>
            </w:r>
          </w:p>
        </w:tc>
        <w:tc>
          <w:tcPr>
            <w:tcMar/>
            <w:vAlign w:val="top"/>
          </w:tcPr>
          <w:p>
            <w:pPr>
              <w:jc w:val="center"/>
            </w:pPr>
          </w:p>
        </w:tc>
        <w:tc>
          <w:tcPr>
            <w:tcMar/>
            <w:vAlign w:val="top"/>
          </w:tcPr>
          <w:p>
            <w:pPr>
              <w:jc w:val="center"/>
            </w:pPr>
          </w:p>
        </w:tc>
        <w:tc>
          <w:tcPr>
            <w:tcMar/>
            <w:vAlign w:val="top"/>
          </w:tcPr>
          <w:p>
            <w:pPr>
              <w:jc w:val="center"/>
            </w:pPr>
          </w:p>
        </w:tc>
      </w:tr>
      <w:tr>
        <w:trPr/>
        <w:tc>
          <w:tcPr>
            <w:tcMar>
              <w:start w:w="240"/>
            </w:tcMar>
            <w:vAlign w:val="top"/>
          </w:tcPr>
          <w:p>
            <w:pPr>
              <w:jc w:val="start"/>
            </w:pPr>
            <w:r>
              <w:rPr/>
              <w:t>Mean (SD)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45.6</w:t>
            </w:r>
            <w:r>
              <w:rPr/>
              <w:t xml:space="preserve"> (</w:t>
            </w:r>
            <w:r>
              <w:rPr/>
              <w:t>20.7</w:t>
            </w:r>
            <w:r>
              <w:rPr/>
              <w:t>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44.2</w:t>
            </w:r>
            <w:r>
              <w:rPr/>
              <w:t xml:space="preserve"> (</w:t>
            </w:r>
            <w:r>
              <w:rPr/>
              <w:t>19.1</w:t>
            </w:r>
            <w:r>
              <w:rPr/>
              <w:t>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47.8</w:t>
            </w:r>
            <w:r>
              <w:rPr/>
              <w:t xml:space="preserve"> (</w:t>
            </w:r>
            <w:r>
              <w:rPr/>
              <w:t>25.9</w:t>
            </w:r>
            <w:r>
              <w:rPr/>
              <w:t>)</w:t>
            </w:r>
          </w:p>
        </w:tc>
      </w:tr>
      <w:tr>
        <w:trPr/>
        <w:tc>
          <w:tcPr>
            <w:tcMar>
              <w:start w:w="240"/>
            </w:tcMar>
            <w:vAlign w:val="top"/>
          </w:tcPr>
          <w:p>
            <w:pPr>
              <w:jc w:val="start"/>
            </w:pPr>
            <w:r>
              <w:rPr/>
              <w:t>Median [Min, Max]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40.5</w:t>
            </w:r>
            <w:r>
              <w:rPr/>
              <w:t xml:space="preserve"> [</w:t>
            </w:r>
            <w:r>
              <w:rPr/>
              <w:t>24</w:t>
            </w:r>
            <w:r>
              <w:rPr/>
              <w:t xml:space="preserve">, </w:t>
            </w:r>
            <w:r>
              <w:rPr/>
              <w:t>85</w:t>
            </w:r>
            <w:r>
              <w:rPr/>
              <w:t>]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40.5</w:t>
            </w:r>
            <w:r>
              <w:rPr/>
              <w:t xml:space="preserve"> [</w:t>
            </w:r>
            <w:r>
              <w:rPr/>
              <w:t>24</w:t>
            </w:r>
            <w:r>
              <w:rPr/>
              <w:t xml:space="preserve">, </w:t>
            </w:r>
            <w:r>
              <w:rPr/>
              <w:t>76</w:t>
            </w:r>
            <w:r>
              <w:rPr/>
              <w:t>]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39.5</w:t>
            </w:r>
            <w:r>
              <w:rPr/>
              <w:t xml:space="preserve"> [</w:t>
            </w:r>
            <w:r>
              <w:rPr/>
              <w:t>27</w:t>
            </w:r>
            <w:r>
              <w:rPr/>
              <w:t xml:space="preserve">, </w:t>
            </w:r>
            <w:r>
              <w:rPr/>
              <w:t>85</w:t>
            </w:r>
            <w:r>
              <w:rPr/>
              <w:t>]</w:t>
            </w:r>
          </w:p>
        </w:tc>
      </w:tr>
      <w:tr>
        <w:trPr/>
        <w:tc>
          <w:tcPr>
            <w:tcMar/>
            <w:vAlign w:val="top"/>
          </w:tcPr>
          <w:p>
            <w:pPr>
              <w:jc w:val="start"/>
            </w:pPr>
            <w:r>
              <w:rPr>
                <w:b/>
              </w:rPr>
              <w:t>Blood type</w:t>
            </w:r>
          </w:p>
        </w:tc>
        <w:tc>
          <w:tcPr>
            <w:tcMar/>
            <w:vAlign w:val="top"/>
          </w:tcPr>
          <w:p>
            <w:pPr>
              <w:jc w:val="center"/>
            </w:pPr>
          </w:p>
        </w:tc>
        <w:tc>
          <w:tcPr>
            <w:tcMar/>
            <w:vAlign w:val="top"/>
          </w:tcPr>
          <w:p>
            <w:pPr>
              <w:jc w:val="center"/>
            </w:pPr>
          </w:p>
        </w:tc>
        <w:tc>
          <w:tcPr>
            <w:tcMar/>
            <w:vAlign w:val="top"/>
          </w:tcPr>
          <w:p>
            <w:pPr>
              <w:jc w:val="center"/>
            </w:pPr>
          </w:p>
        </w:tc>
      </w:tr>
      <w:tr>
        <w:trPr/>
        <w:tc>
          <w:tcPr>
            <w:tcMar>
              <w:start w:w="240"/>
            </w:tcMar>
            <w:vAlign w:val="top"/>
          </w:tcPr>
          <w:p>
            <w:pPr>
              <w:jc w:val="start"/>
            </w:pPr>
            <w:r>
              <w:rPr/>
              <w:t>0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2</w:t>
            </w:r>
            <w:r>
              <w:rPr/>
              <w:t xml:space="preserve"> (</w:t>
            </w:r>
            <w:r>
              <w:rPr/>
              <w:t>20</w:t>
            </w:r>
            <w:r>
              <w:rPr/>
              <w:t>%)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1</w:t>
            </w:r>
            <w:r>
              <w:rPr/>
              <w:t xml:space="preserve"> (</w:t>
            </w:r>
            <w:r>
              <w:rPr/>
              <w:t>16.7</w:t>
            </w:r>
            <w:r>
              <w:rPr/>
              <w:t>%)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1</w:t>
            </w:r>
            <w:r>
              <w:rPr/>
              <w:t xml:space="preserve"> (</w:t>
            </w:r>
            <w:r>
              <w:rPr/>
              <w:t>25</w:t>
            </w:r>
            <w:r>
              <w:rPr/>
              <w:t>%)</w:t>
            </w:r>
          </w:p>
        </w:tc>
      </w:tr>
      <w:tr>
        <w:trPr/>
        <w:tc>
          <w:tcPr>
            <w:tcMar>
              <w:start w:w="240"/>
            </w:tcMar>
            <w:vAlign w:val="top"/>
          </w:tcPr>
          <w:p>
            <w:pPr>
              <w:jc w:val="start"/>
            </w:pPr>
            <w:r>
              <w:rPr/>
              <w:t>A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4</w:t>
            </w:r>
            <w:r>
              <w:rPr/>
              <w:t xml:space="preserve"> (</w:t>
            </w:r>
            <w:r>
              <w:rPr/>
              <w:t>40</w:t>
            </w:r>
            <w:r>
              <w:rPr/>
              <w:t>%)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3</w:t>
            </w:r>
            <w:r>
              <w:rPr/>
              <w:t xml:space="preserve"> (</w:t>
            </w:r>
            <w:r>
              <w:rPr/>
              <w:t>50</w:t>
            </w:r>
            <w:r>
              <w:rPr/>
              <w:t>%)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1</w:t>
            </w:r>
            <w:r>
              <w:rPr/>
              <w:t xml:space="preserve"> (</w:t>
            </w:r>
            <w:r>
              <w:rPr/>
              <w:t>25</w:t>
            </w:r>
            <w:r>
              <w:rPr/>
              <w:t>%)</w:t>
            </w:r>
          </w:p>
        </w:tc>
      </w:tr>
      <w:tr>
        <w:trPr/>
        <w:tc>
          <w:tcPr>
            <w:tcMar>
              <w:start w:w="240"/>
            </w:tcMar>
            <w:vAlign w:val="top"/>
          </w:tcPr>
          <w:p>
            <w:pPr>
              <w:jc w:val="start"/>
            </w:pPr>
            <w:r>
              <w:rPr/>
              <w:t>B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4</w:t>
            </w:r>
            <w:r>
              <w:rPr/>
              <w:t xml:space="preserve"> (</w:t>
            </w:r>
            <w:r>
              <w:rPr/>
              <w:t>40</w:t>
            </w:r>
            <w:r>
              <w:rPr/>
              <w:t>%)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2</w:t>
            </w:r>
            <w:r>
              <w:rPr/>
              <w:t xml:space="preserve"> (</w:t>
            </w:r>
            <w:r>
              <w:rPr/>
              <w:t>33.3</w:t>
            </w:r>
            <w:r>
              <w:rPr/>
              <w:t>%)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2</w:t>
            </w:r>
            <w:r>
              <w:rPr/>
              <w:t xml:space="preserve"> (</w:t>
            </w:r>
            <w:r>
              <w:rPr/>
              <w:t>50</w:t>
            </w:r>
            <w:r>
              <w:rPr/>
              <w:t>%)</w:t>
            </w:r>
          </w:p>
        </w:tc>
      </w:tr>
      <w:tr>
        <w:trPr/>
        <w:tc>
          <w:tcPr>
            <w:tcMar/>
            <w:vAlign w:val="top"/>
          </w:tcPr>
          <w:p>
            <w:pPr>
              <w:jc w:val="start"/>
            </w:pPr>
            <w:r>
              <w:rPr>
                <w:b/>
              </w:rPr>
              <w:t>Smoker</w:t>
            </w:r>
          </w:p>
        </w:tc>
        <w:tc>
          <w:tcPr>
            <w:tcMar/>
            <w:vAlign w:val="top"/>
          </w:tcPr>
          <w:p>
            <w:pPr>
              <w:jc w:val="center"/>
            </w:pPr>
          </w:p>
        </w:tc>
        <w:tc>
          <w:tcPr>
            <w:tcMar/>
            <w:vAlign w:val="top"/>
          </w:tcPr>
          <w:p>
            <w:pPr>
              <w:jc w:val="center"/>
            </w:pPr>
          </w:p>
        </w:tc>
        <w:tc>
          <w:tcPr>
            <w:tcMar/>
            <w:vAlign w:val="top"/>
          </w:tcPr>
          <w:p>
            <w:pPr>
              <w:jc w:val="center"/>
            </w:pPr>
          </w:p>
        </w:tc>
      </w:tr>
      <w:tr>
        <w:trPr/>
        <w:tc>
          <w:tcPr>
            <w:tcMar>
              <w:start w:w="240"/>
            </w:tcMar>
            <w:vAlign w:val="top"/>
          </w:tcPr>
          <w:p>
            <w:pPr>
              <w:jc w:val="start"/>
            </w:pPr>
            <w:r>
              <w:rPr/>
              <w:t>false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6</w:t>
            </w:r>
            <w:r>
              <w:rPr/>
              <w:t xml:space="preserve"> (</w:t>
            </w:r>
            <w:r>
              <w:rPr/>
              <w:t>60</w:t>
            </w:r>
            <w:r>
              <w:rPr/>
              <w:t>%)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3</w:t>
            </w:r>
            <w:r>
              <w:rPr/>
              <w:t xml:space="preserve"> (</w:t>
            </w:r>
            <w:r>
              <w:rPr/>
              <w:t>50</w:t>
            </w:r>
            <w:r>
              <w:rPr/>
              <w:t>%)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3</w:t>
            </w:r>
            <w:r>
              <w:rPr/>
              <w:t xml:space="preserve"> (</w:t>
            </w:r>
            <w:r>
              <w:rPr/>
              <w:t>75</w:t>
            </w:r>
            <w:r>
              <w:rPr/>
              <w:t>%)</w:t>
            </w:r>
          </w:p>
        </w:tc>
      </w:tr>
      <w:tr>
        <w:trPr/>
        <w:tc>
          <w:tcPr>
            <w:tcMar>
              <w:start w:w="240"/>
            </w:tcMar>
            <w:vAlign w:val="top"/>
          </w:tcPr>
          <w:p>
            <w:pPr>
              <w:jc w:val="start"/>
            </w:pPr>
            <w:r>
              <w:rPr/>
              <w:t>true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4</w:t>
            </w:r>
            <w:r>
              <w:rPr/>
              <w:t xml:space="preserve"> (</w:t>
            </w:r>
            <w:r>
              <w:rPr/>
              <w:t>40</w:t>
            </w:r>
            <w:r>
              <w:rPr/>
              <w:t>%)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3</w:t>
            </w:r>
            <w:r>
              <w:rPr/>
              <w:t xml:space="preserve"> (</w:t>
            </w:r>
            <w:r>
              <w:rPr/>
              <w:t>50</w:t>
            </w:r>
            <w:r>
              <w:rPr/>
              <w:t>%)</w:t>
            </w:r>
          </w:p>
        </w:tc>
        <w:tc>
          <w:tcPr>
            <w:tcMar/>
            <w:vAlign w:val="top"/>
          </w:tcPr>
          <w:p>
            <w:pPr>
              <w:jc w:val="center"/>
            </w:pPr>
            <w:r>
              <w:rPr/>
              <w:t>1</w:t>
            </w:r>
            <w:r>
              <w:rPr/>
              <w:t xml:space="preserve"> (</w:t>
            </w:r>
            <w:r>
              <w:rPr/>
              <w:t>25</w:t>
            </w:r>
            <w:r>
              <w:rPr/>
              <w:t>%)</w:t>
            </w:r>
          </w:p>
        </w:tc>
      </w:tr>
      <w:tr>
        <w:trPr/>
        <w:tc>
          <w:tcPr>
            <w:tcBorders>
              <w:bottom w:val="single" w:color="auto" w:sz="8"/>
              <w:end w:val="none" w:color="auto" w:sz="8"/>
              <w:start w:val="none" w:color="auto" w:sz="8"/>
            </w:tcBorders>
            <w:gridSpan w:val="4"/>
            <w:hideMark/>
          </w:tcPr>
          <w:p>
            <w:pPr/>
          </w:p>
        </w:tc>
      </w:tr>
    </w:tbl>
    <w:sectPr/>
  </w:body>
</w:document>
</file>

<file path=word/styles.xml><?xml version="1.0" encoding="utf-8"?>
<w:styles xmlns:w="http://schemas.openxmlformats.org/wordprocessingml/2006/main">
  <w:docDefaults>
    <w:rPrDefault/>
    <w:pPrDefault/>
  </w:docDefaults>
  <w:style w:type="paragraph" w:styleId="Normal">
    <w:pPr>
      <w:rPr>
        <w:sz w:val="20"/>
      </w:rPr>
    </w:pPr>
    <w:name w:val="Normal"/>
    <w:link w:val="NormalChar"/>
    <w:qFormat/>
  </w:style>
  <w:style w:type="character" w:styleId="NormalChar">
    <w:rPr>
      <w:sz w:val="20"/>
    </w:rPr>
    <w:name w:val="Normal"/>
    <w:link w:val="Normal"/>
    <w:qFormat/>
  </w:style>
  <w:style w:type="paragraph" w:styleId="Heading1">
    <w:pPr>
      <w:rPr>
        <w:sz w:val="40"/>
      </w:rPr>
      <w:spacing w:before="240" w:after="200"/>
    </w:pPr>
    <w:name w:val="Heading 1"/>
    <w:link w:val="Heading1Char"/>
    <w:qFormat/>
    <w:basedOn w:val="Normal"/>
  </w:style>
  <w:style w:type="character" w:styleId="Heading1Char">
    <w:rPr/>
    <w:name w:val="Heading 1"/>
    <w:link w:val="Heading1"/>
    <w:qFormat/>
    <w:basedOn w:val="Normal"/>
  </w:style>
  <w:style w:type="paragraph" w:styleId="Heading2">
    <w:pPr>
      <w:rPr>
        <w:sz w:val="32"/>
      </w:rPr>
      <w:spacing w:before="200" w:after="160"/>
    </w:pPr>
    <w:name w:val="Heading 2"/>
    <w:link w:val="Heading2Char"/>
    <w:qFormat/>
    <w:basedOn w:val="Normal"/>
  </w:style>
  <w:style w:type="character" w:styleId="Heading2Char">
    <w:rPr/>
    <w:name w:val="Heading 2"/>
    <w:link w:val="Heading2"/>
    <w:qFormat/>
    <w:basedOn w:val="Normal"/>
  </w:style>
  <w:style w:type="paragraph" w:styleId="Heading3">
    <w:pPr>
      <w:rPr>
        <w:sz w:val="28"/>
      </w:rPr>
      <w:spacing w:before="160" w:after="120"/>
    </w:pPr>
    <w:name w:val="Heading 3"/>
    <w:link w:val="Heading3Char"/>
    <w:qFormat/>
    <w:basedOn w:val="Normal"/>
  </w:style>
  <w:style w:type="character" w:styleId="Heading3Char">
    <w:rPr/>
    <w:name w:val="Heading 3"/>
    <w:link w:val="Heading3"/>
    <w:qFormat/>
    <w:basedOn w:val="Normal"/>
  </w:style>
  <w:style w:type="paragraph" w:styleId="Heading4">
    <w:pPr>
      <w:rPr>
        <w:sz w:val="24"/>
      </w:rPr>
      <w:spacing w:before="120" w:after="80"/>
    </w:pPr>
    <w:name w:val="Heading 4"/>
    <w:link w:val="Heading4Char"/>
    <w:qFormat/>
    <w:basedOn w:val="Normal"/>
  </w:style>
  <w:style w:type="character" w:styleId="Heading4Char">
    <w:rPr/>
    <w:name w:val="Heading 4"/>
    <w:link w:val="Heading4"/>
    <w:qFormat/>
    <w:basedOn w:val="Normal"/>
  </w:style>
  <w:style w:type="paragraph" w:styleId="Heading5">
    <w:pPr>
      <w:rPr>
        <w:sz w:val="22"/>
        <w:i/>
      </w:rPr>
      <w:spacing w:before="120" w:after="80"/>
    </w:pPr>
    <w:name w:val="Heading 5"/>
    <w:link w:val="Heading5Char"/>
    <w:qFormat/>
    <w:basedOn w:val="Normal"/>
  </w:style>
  <w:style w:type="character" w:styleId="Heading5Char">
    <w:rPr/>
    <w:name w:val="Heading 5"/>
    <w:link w:val="Heading5"/>
    <w:qFormat/>
    <w:basedOn w:val="Normal"/>
  </w:style>
  <w:style w:type="paragraph" w:styleId="Heading6">
    <w:pPr>
      <w:rPr>
        <w:sz w:val="20"/>
        <w:i/>
      </w:rPr>
      <w:spacing w:before="120" w:after="80"/>
    </w:pPr>
    <w:name w:val="Heading 6"/>
    <w:link w:val="Heading6Char"/>
    <w:qFormat/>
    <w:basedOn w:val="Normal"/>
  </w:style>
  <w:style w:type="character" w:styleId="Heading6Char">
    <w:rPr/>
    <w:name w:val="Heading 6"/>
    <w:link w:val="Heading6"/>
    <w:qFormat/>
    <w:basedOn w:val="Normal"/>
  </w:style>
  <w:latentStyles/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</Relationships>

</file>